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Rules and Procedures: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Bathroom sign out: on supply table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Supply table: keep NEAT and organized!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STEM cabinets: keep NEAT and organized. The ones with the labels are for students.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Project Storage:  window sills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STEM trash: ALL large garbage MUST go in the STEM trash can, NOT the regular class trash can.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Always be prepared for class and follow class rules.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When in the hallways outside of class, please be quiet and respectful.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Tables and floors will be cleaned, straightened and chairs pushed in before you may be dismissed. Choose a table captain to make sure this gets done!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Homework, Classwork, Assessments: Most of our work will be done in the classroom; however there may be occasional homework due to missed class time..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When you work in a team/group, YOUR work will be assessed and will be based on your own work in the group. This is important! Even if your group gets a good grade on a final project but you didn’t do much work...YOUR grade will not be high and vice versa!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Safety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You must follow safety rules at all times. Failure to do so will result in you being on “watch only” status and will affect your grade.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Carry all sharp objects (scissors, for example) in the proper way.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 running.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Clean off your table and work area with baby wipes or paper towels.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 rough play.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Put all items away neatly.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Keep floors clean.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Backpacks stay in the hallway.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When you hear the bells, STOP immediately-there could be a safety concern.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When Mrs. Hannah is speaking you will stop moving and listen!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Assessment and Grades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Assessments will be in the form of rubrics, notebook checks, quizzes, projects and presentations.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General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 school rules apply in the classroom, even if not stated directly.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You may earn extra credit by bringing in rolls of duct tape (1 point per roll, up to  5 points total).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Upon entering the classroom: turn in any work, complete the Do Now, set up your notebook for the class.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Check the website for updates and info.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Lost and found is under the supply table. Any item left in the bin on Fridays will be moved to the lost and found in the cafetorium.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